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Råtjärnberget i Bjurholms kommun</w:t>
      </w:r>
    </w:p>
    <w:p>
      <w:r>
        <w:t>Detta dokument behandlar höga naturvärden i avverkningsanmälan Råtjärnberget i Bjurholms kommun. Denna avverkningsanmälan inkom 2025-07-27 och omfattar 240,4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74 naturvårdsarter hittats: aspgelélav (VU), doftticka (VU, §8), fläckporing (VU), gräddporing (VU), knärot (VU, §8), läderlappslav (VU), rynkskinn (VU), aspbarkgnagare (NT), baltiskt skogsfly (NT), barkporlav (NT), blanksvart spiklav (NT), blågrå svartspik (NT), doftskinn (NT), dvärgbägarlav (NT), gammelgransskål (NT), garnlav (NT), granticka (NT), gränsticka (NT), grå blåbärsfältmätare (NT), grön aspvedbock (NT), hornvaxskinn (NT), järpe (NT, §4), kandelabersvamp (NT), kolflarnlav (NT), kortskaftad ärgspik (NT), liten svartspik (NT), lunglav (NT), mörk kolflarnlav (NT), nordlig nållav (NT), nordtagging (NT), reliktbock (NT), rosenticka (NT), rödvingetrast (NT, §4), småflikig brosklav (NT), spillkråka (NT, §4), stiftgelélav (NT), talltita (NT, §4), tretåig hackspett (NT, §4), ullticka (NT), vedflamlav (NT), vedskivlav (NT), vedtrappmossa (NT), violettgrå tagellav (NT), vitgrynig nållav (NT), aspvedgnagare (S), barkkornlav (S), blodticka (S), bårdlav (S), dropptaggsvamp (S), dvärgtufs (S), gytterlav (S), luddlav (S), mindre märgborre (S), norrlandslav (S), nästlav (S), plattlummer (S, §9), robust tickgnagare (S), rävticka (S), skinnlav (S), spindelblomster (S, §8), spädstarr (S), stekelbock (S), stor aspticka (S), stuplav (S), traslav (S), vedticka (S), ögonpyrola (S), grönsiska (§4), kungsfågel (§4), pärluggla (§4), tjäder (§4), fläcknycklar (§8), nattviol (§8) och revlummer (§9). Av dessa är 44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35935"/>
            <wp:docPr id="1" name="Picture 1"/>
            <wp:cNvGraphicFramePr>
              <a:graphicFrameLocks noChangeAspect="1"/>
            </wp:cNvGraphicFramePr>
            <a:graphic>
              <a:graphicData uri="http://schemas.openxmlformats.org/drawingml/2006/picture">
                <pic:pic>
                  <pic:nvPicPr>
                    <pic:cNvPr id="0" name="Råtjärnberget karta.png"/>
                    <pic:cNvPicPr/>
                  </pic:nvPicPr>
                  <pic:blipFill>
                    <a:blip r:embed="rId16"/>
                    <a:stretch>
                      <a:fillRect/>
                    </a:stretch>
                  </pic:blipFill>
                  <pic:spPr>
                    <a:xfrm>
                      <a:off x="0" y="0"/>
                      <a:ext cx="5486400" cy="273593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7105841, E 677289 i SWEREF 99 TM.</w:t>
      </w:r>
    </w:p>
    <w:p>
      <w:r>
        <w:rPr>
          <w:b/>
        </w:rPr>
        <w:t>Aspbarkgnagare (NT)</w:t>
      </w:r>
      <w:r>
        <w:t xml:space="preserve"> är en globalt rödlistad art som omfattas av EU:s art- och habitatdirektiv och ingår i ett åtgärdsprogram (ÅGP) för hotade arter på asp i Norrland. Artens larvutveckling sker i solbelyst, skadad eller död bark av asp. Larver kan påträffas både på levande och på helt döda stammar. Ibland angrips även nedfallna döda, grova grenar. Larverna lever strax under den hårda ytterbarken och gnager otydliga gångar i den ganska luckra innerbarken. De påträffas ofta runt gamla stamskador där barken fått en mycket ojämn struktur – ofta påträffas även arter av barkborresläktet </w:t>
      </w:r>
      <w:r>
        <w:rPr>
          <w:i/>
        </w:rPr>
        <w:t xml:space="preserve">Trypophloeus </w:t>
      </w:r>
      <w:r>
        <w:t>på samma ställe (SLU Artdatabanken, 2024).</w:t>
      </w:r>
    </w:p>
    <w:p>
      <w:r>
        <w:t>Aspbarkgnagaren är listad i EU:s art- och habitatdirektiv (Rådets direktiv 92/43/EEG) och är därmed en s.k. Natura 2000-art. Det betyder att artens gynnsamma bevarandestatus ska bibehållas eller återställas. Tillräckligt många Natura 2000-områden skall pekas ut för arten, spridda över det ursprungliga utbredningsområdet, så att arten kan nå en utbredning och population som medger att den kan överleva långsiktigt. Arten hotas av att mängden äldre asprik skog minskat i skogslandskapet under det senaste seklet samt att aspskogar inte förnyas i tillräcklig grad (Naturvårdsverket, 2010). Röjning, gallring och avverkning av asp i de landskapsområden där arten fortfarande förekommer är ett direkt hot mot artens långsiktiga överlevnad.</w:t>
      </w:r>
    </w:p>
    <w:p>
      <w:r>
        <w:rPr>
          <w:b/>
        </w:rPr>
        <w:t>Aspgelélav (VU)</w:t>
      </w:r>
      <w:r>
        <w:t xml:space="preserve"> växer praktiskt taget enbart på asp i skog med hög luftfuktighet. Aspgelélav missgynnas vid slutavverkning. I norra Sverige hotas arten genom slutavverkning av äldre barrskog med åldriga aspar, ofta på skogsbergens sluttningar. Arten försvinner på aspar som lämnas kvar på hyggen (SLU Artdatabanken, 2024).</w:t>
      </w:r>
    </w:p>
    <w:p>
      <w:r>
        <w:rPr>
          <w:b/>
        </w:rPr>
        <w:t>Blanksvart spiklav (NT)</w:t>
      </w:r>
      <w:r>
        <w:t xml:space="preserve"> förekommer på torr, hård, gammal kärnved men även på äldre ytved av tall i naturskogsartade bestånd med begränsad brandpåverkan och ostörd hydrologi. Skogsbruksåtgärder på eller i närheten av lokaler med blanksvart spiklav utgör ett hot. Naturskogsartade öppna tall- och barrblandskogar med blanksvart spiklav indikerar höga biologiska värden och bör bevaras (SLU Artdatabanken, 2024).</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Grå blåbärsfältmätare (NT)</w:t>
      </w:r>
      <w:r>
        <w:t xml:space="preserve"> har tidigare ansetts som en mycket vanlig art men har utifrån fältobservationer gått starkt tillbaka och är nu försvunnen från stora delar av södra och mellersta Sverige. Sannolikt minskar arten även i norr. Detta indikerar att arten är starkare knuten till kontinuitetsskog med stort innehåll av blåbär än man tidigare trott och den förefaller vara mycket känslig för kalhyggesbruk. Fjärilens huvudsakliga habitat är luckiga granskogar med ett välutvecklat blåbärskikt på vilket larven lever. Denna livsmiljö är hotad av kalhyggesbruket där blåbärsriset skuggas ut när den uppväxande skogen sluter sig. Minskningstakten för den svenska populationen bedöms vara nära gränsvärdet för Sårbar (VU) (SLU Artdatabanken, 2024).</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Grön aspvedbock (NT)</w:t>
      </w:r>
      <w:r>
        <w:t xml:space="preserve"> är en skalbagge vars larvutveckling sker under tjock bark på nyligen döda stammar och grova grenar (&gt;5 cm diameter) av lövträd, i Sverige nästan uteslutande asp. Främsta hotet är bristen på gammal aspskog. Skogsbruket har under lång tid missgynnat asp, och det är idag på många håll ovanligt med gamla lövrika skogar. Inom skogsbruket bör man spara aspar vid röjning, gallring och slutavverkning, och därmed få andelen lövskog att öka i hela skogslandskapet. Bruket att ringbarka gamla aspar för att motverka rotskott bör upphöra (SLU Artdatabanken, 2024).</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Kandelabersvamp (NT)</w:t>
      </w:r>
      <w:r>
        <w:t xml:space="preserve"> är en mycket bra signalart på skyddsvärda skogsbestånd i hela sitt utbredningsområde. Svampen indikerar sena aspsuccessioner inom områden med konstant hög luftfuktighet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(SLU Artdatabanken, 2024).</w:t>
      </w:r>
    </w:p>
    <w:p>
      <w:r>
        <w:rPr>
          <w:b/>
        </w:rPr>
        <w:t>Kortskaftad ärgspik (NT)</w:t>
      </w:r>
      <w:r>
        <w:t xml:space="preserve"> förekommer i barrträdsdominerade skogar och växer nästan uteslutande på tallved. Den föredrar gamla högstubbar i fuktig och halvöppen miljö, t.ex. i myrkanter, sumpskog och brandpräglad skog. Arten indikerar kontinuerlig tillgång till gamla högstubbar i kombination med hög och jämn luftfuktighet. Skogsbruk på lokaler med kortskaftad ärgspik utgör ett hot. På lång sikt bildas färre lämpliga substrat än vad som försvinner. Avverkning av barrträdsdominerade bestånd av naturskogskaraktär utgör ett långsiktigt hot. Naturskogsartade bestånd med riklig förekomst av gamla och grova tallhögstubbar bör undantas från skogsbruk (SLU Artdatabanken, 2024).</w:t>
      </w:r>
    </w:p>
    <w:p>
      <w:r>
        <w:rPr>
          <w:b/>
        </w:rPr>
        <w:t>Liten svartspik (NT)</w:t>
      </w:r>
      <w:r>
        <w:t xml:space="preserve"> växer på granbark i boreala barrskogar med lång trädkontinuitet och hög luftfuktighet. Orsaken till tillbakagången beror på främst på slutavverkningar av naturskogsartade granskogar. Bestånd med riklig förekomst av liten svartspik bör regelmässigt sparas. Naturhänsyn i samband med slutavverkning måste ske så att man undviker uttorkningseffekter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Läderlappslav (VU)</w:t>
      </w:r>
      <w:r>
        <w:t xml:space="preserve"> växer på gamla lövträd, främst lönn, rönn, asp och ask, på lokaler med hög luftfuktighet. Lämpliga lokaler bör skyddas. Tills vidare bör lokaler i skog undantas från rationell skogsskötsel (SLU Artdatabanken, 2024).</w:t>
      </w:r>
    </w:p>
    <w:p>
      <w:r>
        <w:rPr>
          <w:b/>
        </w:rPr>
        <w:t>Mindre märgborre</w:t>
      </w:r>
      <w:r>
        <w:t xml:space="preserve"> är en signalart för tallskog med höga naturvärden och betraktas tillsammans med skarptandad barkborre (NT) som nyckelarter för ett antal sällsynta åtgärdsprogramsarter som är beroende av deras gångsystem. Bland dessa kan nämnas avlång barkborre (VU), </w:t>
      </w:r>
      <w:r>
        <w:rPr>
          <w:i/>
        </w:rPr>
        <w:t>Corticeus longulus</w:t>
      </w:r>
      <w:r>
        <w:t xml:space="preserve"> (VU), tallbarksvartbagge (VU), tallgångbagge (VU) och cholodkovskys bastborre (NT). Den mindre märgborrens måsvingeliknande gnaggångar är lätta att känna igen och hittas ofta på grova tallgrenar på marken. 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Tallskogar med stark förekomst av mindre märgborre och skarptandad barkborre bör avsättas som reservat. Generellt bör hänsyn tas vid slutavverkning av talldominerad skog så att avverkningsrester som gren- och toppdelar lämnas (Pettersson, 2014; Hedgren, 2012; Gunnarsson m fl., 1999).</w:t>
      </w:r>
    </w:p>
    <w:p>
      <w:r>
        <w:rPr>
          <w:b/>
        </w:rPr>
        <w:t>Mörk kolflarnlav (NT)</w:t>
      </w:r>
      <w:r>
        <w:t xml:space="preserve"> är brandberoende och växer nästan uteslutande på kolad hård kärnved av tall. Arten förekommer främst i glesa, öppna tall- och blandbarrskogar av naturskogskaraktär och etableringen verkar ske sent efter brand, kanske först efter 100–300 år. Mörk kolflarnlav indikerar skog med höga naturvärden och vanligast är att den påträffas på rester av nedbrunna torrakor och högstubbar och lågstubbar som är så grova att hela innandömet är urbränt. Tall- och blandbarrskogar av naturskogskaraktär med spår av återkommande bränder hyser höga biologiska värden och bör skyddas (SLU Artdatabanken, 2024).</w:t>
      </w:r>
    </w:p>
    <w:p>
      <w:r>
        <w:rPr>
          <w:b/>
        </w:rPr>
        <w:t>Nordlig nållav (NT)</w:t>
      </w:r>
      <w:r>
        <w:t xml:space="preserve"> signalerar alltid miljöer med höga naturvärden. På lokalerna förekommer nästan alltid andra rödlistade eller ovanliga arter knutna till gamla skogar. Alla skogsskötselåtgärder på eller i omedelbar närhet av lokalerna utgör ett hot. Några av lavens rikaste förekomster bör skyddas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 xml:space="preserve">Småflikig brosklav (NT) </w:t>
      </w:r>
      <w:r>
        <w:t>signalerar i hela sitt utbredningsområde skogsbestånd med höga naturvärden. Den indikerar hög luftfuktighet och långvarig förekomst av asp (Nitare &amp; Skogsstyrelsen, 2019).</w:t>
      </w:r>
    </w:p>
    <w:p>
      <w:r>
        <w:rPr>
          <w:b/>
        </w:rPr>
        <w:t>Stiftgelélav (NT)</w:t>
      </w:r>
      <w:r>
        <w:t xml:space="preserve"> växer på gamla aspar och sälgar i blandskogar med hög luftfuktighet. Slutavverkning och vedhuggning är de största hoten och lokaler bör undantas från rationell skogsskötsel. På lång sikt måste inslaget av asp öka i svensk skog (SLU Artdatabanken, 2024).</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knärot (VU, §8), järpe (NT, §4), rödvingetrast (NT, §4), spillkråka (NT, §4), talltita (NT, §4), tretåig hackspett (NT, §4), plattlummer (S, §9), spindelblomster (S, §8), grönsiska (§4), kungsfågel (§4), pärluggla (§4), tjäder (§4), fläcknycklar (§8), nattviol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Knärot (VU, §8)</w:t>
      </w:r>
      <w:r>
        <w:t xml:space="preserve"> är rödlistad som sårbar och fridlyst enligt 8§ artskyddsförordningen. En nyligen genomförd analys av 79 floraväktarlokaler indikerar att det behövs någonstans mellan 100 och 150 meters skyddszon för att en knärotspopulation inte ska dö ut på lång sikt (Sebestyén &amp; Sundberg, 2025). Detta ligger väl i linje med tidigare genomförda studier som visar att det krävs väl tilltagna buffertzoner för att knäroten inte ska ta skada av skogsbruksåtgärder i intilliggande skog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2024).</w:t>
      </w:r>
    </w:p>
    <w:p>
      <w:r>
        <w:t>I det avverkningsanmälda området finns 30 fyndplatser för knärot registrerade på Artportalen. Figur 2 visar gränserna för buffertzoner på 50 m, som behöver lämnas kring fyndplatserna för att knärotslokalerna inte ska försvinna vid en avverkning. Av det avverkningsanmälda området överlappar 12.05 ha med buffertzonerna och får av detta skäl inte avverkas.</w:t>
      </w:r>
    </w:p>
    <w:p>
      <w:pPr>
        <w:pStyle w:val="Caption"/>
      </w:pPr>
      <w:r>
        <w:drawing>
          <wp:inline xmlns:a="http://schemas.openxmlformats.org/drawingml/2006/main" xmlns:pic="http://schemas.openxmlformats.org/drawingml/2006/picture">
            <wp:extent cx="5486400" cy="3547872"/>
            <wp:docPr id="2" name="Picture 2"/>
            <wp:cNvGraphicFramePr>
              <a:graphicFrameLocks noChangeAspect="1"/>
            </wp:cNvGraphicFramePr>
            <a:graphic>
              <a:graphicData uri="http://schemas.openxmlformats.org/drawingml/2006/picture">
                <pic:pic>
                  <pic:nvPicPr>
                    <pic:cNvPr id="0" name="Råtjärnberget karta knärot.png"/>
                    <pic:cNvPicPr/>
                  </pic:nvPicPr>
                  <pic:blipFill>
                    <a:blip r:embed="rId17"/>
                    <a:stretch>
                      <a:fillRect/>
                    </a:stretch>
                  </pic:blipFill>
                  <pic:spPr>
                    <a:xfrm>
                      <a:off x="0" y="0"/>
                      <a:ext cx="5486400" cy="3547872"/>
                    </a:xfrm>
                    <a:prstGeom prst="rect"/>
                  </pic:spPr>
                </pic:pic>
              </a:graphicData>
            </a:graphic>
          </wp:inline>
        </w:drawing>
      </w:r>
    </w:p>
    <w:p>
      <w:pPr>
        <w:pStyle w:val="Caption"/>
      </w:pPr>
      <w:r>
        <w:t>Figur 2. Fyndplatser och buffertzoner för knärot i det avverkningsanmälda området. Endast fyndplatser vars buffertzoner överlappar med det avverkningsanmälda området har tagits med i visualiseringen. Kartans mittpunktskoordinat är N 7105841, E 677289 i SWEREF 99 TM.</w:t>
      </w:r>
    </w:p>
    <w:p>
      <w:pPr>
        <w:pStyle w:val="Caption"/>
      </w:pPr>
    </w:p>
    <w:p>
      <w:r>
        <w:rPr>
          <w:b/>
        </w:rPr>
        <w:t>Pärluggla (§4)</w:t>
      </w:r>
      <w:r>
        <w:t xml:space="preserve"> är beroende av äldre, varierad skog med goda jaktmöjligheter och god tillgång på lämpliga trädhål som boplatser. Hemområdet är i storleksordningen 200–500 hektar, men storleken varierar kraftigt beroende på hur mycket föda det finns. Undvik skogsbruksåtgärder som kan skada hänsynskrävande miljöer, som till exempel strand- och sumpskogar med naturskogskaraktär, äldre skog på uddar och öar, raviner, klyftor och blockmarker samt berg- och rasbranter, äldre hällmarksskog, äldre sandtallskogar, naturskogsrester, eller äldre trädbestånd med mycket hänglavar eller död ved. Pärlugglan är typisk art för Västlig taiga (9010) och omfattas av fågeldirektivets bilaga 1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Aspbarkgnagare – ekologi samt krav på livsmiljön</w:t>
      </w:r>
    </w:p>
    <w:p>
      <w:r>
        <w:t xml:space="preserve">Aspbarkgnagare (NT) är en globalt rödlistad art som omfattas av EU:s art- och habitatdirektiv och ingår i ett åtgärdsprogram (ÅGP) för hotade arter på asp i Norrland. Artens larvutveckling sker i solbelyst, skadad eller död bark av asp. Larver kan påträffas både på levande och på helt döda stammar. Ibland angrips även nedfallna döda, grova grenar. Larverna lever strax under den hårda ytterbarken och gnager otydliga gångar i den ganska luckra innerbarken. De påträffas ofta runt gamla stamskador där barken fått en mycket ojämn struktur – ofta påträffas även arter av barkborresläktet </w:t>
      </w:r>
      <w:r>
        <w:rPr>
          <w:i/>
        </w:rPr>
        <w:t xml:space="preserve">Trypophloeus </w:t>
      </w:r>
      <w:r>
        <w:t>på samma ställe (SLU Artdatabanken, 2024).</w:t>
      </w:r>
    </w:p>
    <w:p>
      <w:r>
        <w:t>Aspbarkgnagaren är listad i EU:s art- och habitatdirektiv (Rådets direktiv 92/43/EEG) och är därmed en s.k. Natura 2000-art. Det betyder att artens gynnsamma bevarandestatus ska bibehållas eller återställas. Tillräckligt många Natura 2000-områden skall pekas ut för arten, spridda över det ursprungliga utbredningsområdet, så att arten kan nå en utbredning och population som medger att den kan överleva långsiktigt. Arten hotas av att mängden äldre asprik skog minskat i skogslandskapet under det senaste seklet samt att aspskogar inte förnyas i tillräcklig grad (Naturvårdsverket, 2010). Röjning, gallring och avverkning av asp i de landskapsområden där arten fortfarande förekommer är ett direkt hot mot artens långsiktiga överlevnad.</w:t>
      </w:r>
    </w:p>
    <w:p>
      <w:pPr>
        <w:pStyle w:val="Heading2"/>
      </w:pPr>
      <w:r>
        <w:t>Referenser – aspbarkgnagare</w:t>
      </w:r>
    </w:p>
    <w:p>
      <w:r>
        <w:t xml:space="preserve">Naturvårdverket, 2010. </w:t>
      </w:r>
      <w:r>
        <w:rPr>
          <w:i/>
        </w:rPr>
        <w:t>Åtgärdsprogram för hotade arter på asp i Norrland 2010–2014</w:t>
      </w:r>
      <w:r>
        <w:t>. Rapport 6393. Juni 2010</w:t>
      </w:r>
    </w:p>
    <w:p>
      <w:r>
        <w:t xml:space="preserve">SLU Artdatabanken, 2024. </w:t>
      </w:r>
      <w:r>
        <w:rPr>
          <w:i/>
        </w:rPr>
        <w:t xml:space="preserve">Artfaktablad. Naturvård – artfakta. </w:t>
      </w:r>
      <w:r>
        <w:t>SLU Artdatabanken, Uppsala</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 förhållande till sin generationstid än vad som tidigare varit känt (data från Riksskogstaxeringen) höjdes den till hotkategori sårbar (VU) i rödlistan 2020 (SLU Artdatabanken, 2024).</w:t>
      </w:r>
    </w:p>
    <w:p>
      <w:r>
        <w:t>En analys av 79 floraväktarlokaler åren 1990–2015 vilka återbesökts under 2020–2024 visade på en tydlig negativ påverkan på knärotsförekomster från större hyggen i närområdet (inom 150–200 m) vilket indikerar att kanteffekter har en stor påverkan på populationerna. Resultaten bekräftar knärotens känslighet för kanteffekter och visar vikten av att skydda större skogsbestånd för att bevara arten. Om det blir höga andelar (&gt;30%) hyggen inom 200 meter från en knärotsförekomst så ökar risken för att en knärotspopulation dör ut och det verkar det behövas någonstans mellan 100 och 150 meters skyddszon för att bevara arten på lång sikt (Sebestyén &amp; Sundberg, 2025).</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r>
        <w:t>Vid tillämpning av försiktighetsprincipen enligt 2 kap. 3 § miljöbalken bör sålunda 100–150 meters skyddszon lämnas runt knärotens växtplatser.</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Ecological Applications, 22, 2049–2064</w:t>
      </w:r>
    </w:p>
    <w:p>
      <w:r>
        <w:t xml:space="preserve">Johnson, S., 2014. </w:t>
      </w:r>
      <w:r>
        <w:rPr>
          <w:i/>
        </w:rPr>
        <w:t>Retention Forestry as a Conservation Measure for Boreal Forest Ground Vegetation</w:t>
      </w:r>
      <w:r>
        <w:t>. Doktorsavhandling, SLU, Uppsala</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Sebestyén, L. och Sundberg, S. 2025.  </w:t>
      </w:r>
      <w:r>
        <w:rPr>
          <w:i/>
        </w:rPr>
        <w:t>Påverkan på knärotslokaler från hyggen i närheten.</w:t>
      </w:r>
      <w:r>
        <w:t xml:space="preserve"> DAPHNE 36:1 2025. Botaniska Sällskapet i Stockholm</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2024.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Mindre märgborre – ekologi samt krav på livsmiljön</w:t>
      </w:r>
    </w:p>
    <w:p>
      <w:r>
        <w:t xml:space="preserve">Mindre märgborre är en signalart för tallskog med höga naturvärden och kan lätt konstateras genom sina karaktäristiska måsvingeliknande gnagspår som ofta hittas på grova tallgrenar på marken. Mindre märgborre betraktas tillsammans med skarptandad barkborre (NT) som nyckelarter, eftersom en rad sällsynta efterföljande arter är beroende av deras gångsystem. Bland dessa kan nämnas åtgärdsprogramsarterna avlång barkborre (VU), </w:t>
      </w:r>
      <w:r>
        <w:rPr>
          <w:i/>
        </w:rPr>
        <w:t>Corticeus longulus</w:t>
      </w:r>
      <w:r>
        <w:t xml:space="preserve"> (VU), tallbarksvartbagge (VU), tallgångbagge (VU) och cholodkovskys bastborre (NT) (Pettersson, 2014; Gunnarsson m fl., 1999).</w:t>
      </w:r>
    </w:p>
    <w:p>
      <w:r>
        <w:t>Tallskogar tillhör de livsmiljöer som förändrats i stor skala, där många kvadratmil har omvandlats till unga produktionsskogar. I sådana skogar saknas förutsättningar för de ovannämnda sällsynta barkborrarna och alltmer kunskap tyder på att skogsbrukets omvandling av skogslandskapet, missgynnar åtgärdsprogrammets arter även inne i skyddade områden (Hedgren, 2012; Hedgren m.fl., 2010; Wikars m.fl., 2010; Wikars, 2009). Orsaken är sannolikt att dagens intensiva skogsbruk trivialiserar faunan på nydöda träd. Detta sker genom att generalister förökas upp i sådan grad i den brukade skogen att dessa även kommer att dominera i de för hållandevis små och fragmenterade områden som avsätts för naturvård (Appelqvist, 2005; Janzen, 1983; Ås, 1999).</w:t>
      </w:r>
    </w:p>
    <w:p>
      <w:r>
        <w:t>Ett tydligt exempel på en generalist som gynnas av dagens skogsbruk är större märgborre på nydöd tall. Denna utvecklas förutom i vindfällen gärna i avverkningsavfall, inklusive avverkningsstubbar och röjningsstammar. Därmed har den större märgborren möjlighet att upprätthålla stora och stabila populationer på huvuddelen av landets skogsmark, vilket leder till en trivialisering av faunan. Större märgborre inverkar sannolikt direkt negativt på arter som tolvtandad barkborre (EN) och avlång barkborre (VU), och indirekt på de som är gynnade av blånadssvampar, dvs. följearter till framförallt mindre märgborre och skarptandad barkborre (NT). De barkborrar som missgynnas av större märgborre är i mycket högre grad gynnade av tallar som dör genom självgallring, dvs. i normalfallet skog som inte används till skogsproduktion (Pettersson, 2014; Wikars, skriftl.).</w:t>
      </w:r>
    </w:p>
    <w:p>
      <w:r>
        <w:t>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(Pettersson, 2014; Hedgren, 2012). Tallskogar med stark förekomst av mindre märgborre och skarptandad barkborre bör avsättas som reservat. Generellt bör hänsyn tas vid slutavverkning av talldominerad skog så att avverkningsrester som gren- och toppdelar (s.k. GROT) lämnas (Pettersson, 2014).</w:t>
      </w:r>
    </w:p>
    <w:p>
      <w:pPr>
        <w:pStyle w:val="Heading2"/>
      </w:pPr>
      <w:r>
        <w:t>Referenser – mindre märgborre</w:t>
      </w:r>
    </w:p>
    <w:p>
      <w:r>
        <w:t xml:space="preserve">Appelqvist, T., 2005. </w:t>
      </w:r>
      <w:r>
        <w:rPr>
          <w:i/>
        </w:rPr>
        <w:t>Naturvårdsbiologisk forskning. Underlag för områdesskydd i landskapet.</w:t>
      </w:r>
      <w:r>
        <w:t xml:space="preserve"> Naturvårdsverket, Rapport 5452.</w:t>
      </w:r>
    </w:p>
    <w:p>
      <w:r>
        <w:t xml:space="preserve">Gunnarsson, B., Pettersson, R. B., Hake, M. och Hultengren, S. &amp; Sjöberg, K., 1999. </w:t>
      </w:r>
      <w:r>
        <w:rPr>
          <w:i/>
        </w:rPr>
        <w:t xml:space="preserve">Spindlar och skalbaggar som indikatorer i barrskog. </w:t>
      </w:r>
      <w:r>
        <w:t>Skog &amp; Forskning, Nr. 2/99, s. 46–51.</w:t>
      </w:r>
    </w:p>
    <w:p>
      <w:r>
        <w:t xml:space="preserve">Hedgren, O., 2012. </w:t>
      </w:r>
      <w:r>
        <w:rPr>
          <w:i/>
        </w:rPr>
        <w:t>Hotade insekter på tallved i Dalarna.</w:t>
      </w:r>
      <w:r>
        <w:t xml:space="preserve"> Länsstyrelsen Dalarna, Naturvårdsenheten. Rapport 2012:16.</w:t>
      </w:r>
    </w:p>
    <w:p>
      <w:r>
        <w:t xml:space="preserve">Hedgren, O. 2010. </w:t>
      </w:r>
      <w:r>
        <w:rPr>
          <w:i/>
        </w:rPr>
        <w:t>Vedinsekter i tallskog och på brandfält i Värmland.</w:t>
      </w:r>
      <w:r>
        <w:t xml:space="preserve"> Länsstyrelsen Värmland, Stencil, 39 s.</w:t>
      </w:r>
    </w:p>
    <w:p>
      <w:r>
        <w:t xml:space="preserve">Janzen, D. H., 1983. </w:t>
      </w:r>
      <w:r>
        <w:rPr>
          <w:i/>
        </w:rPr>
        <w:t>No park is an island: Increase in interference from outside as park size decreases</w:t>
      </w:r>
      <w:r>
        <w:t>. Oikos 41: 402–410.</w:t>
      </w:r>
    </w:p>
    <w:p>
      <w:r>
        <w:t xml:space="preserve">Jonsell, M., Weslien, J. &amp; Ehn ström, B., 1998. </w:t>
      </w:r>
      <w:r>
        <w:rPr>
          <w:i/>
        </w:rPr>
        <w:t>Substrate requirements of red-listed saproxylic invertebrates in Sweden</w:t>
      </w:r>
      <w:r>
        <w:t>. Biodiversity and Conserv. 7: 749–764.</w:t>
      </w:r>
    </w:p>
    <w:p>
      <w:r>
        <w:t xml:space="preserve">Pettersson, R. B., 2014). </w:t>
      </w:r>
      <w:r>
        <w:rPr>
          <w:i/>
        </w:rPr>
        <w:t>Åtgärdsprogram för skalbaggar på nyligen död tall, 2014–2018.</w:t>
      </w:r>
      <w:r>
        <w:t xml:space="preserve"> Rapport 6599. Bromma: Naturvårdsverket.</w:t>
      </w:r>
    </w:p>
    <w:p>
      <w:r>
        <w:t xml:space="preserve">Wikars, L.-O., Hansson, J. &amp; Hedgren, O., 2010. </w:t>
      </w:r>
      <w:r>
        <w:rPr>
          <w:i/>
        </w:rPr>
        <w:t>Inventering av vedlevande skalbaggar – tallskogar i Örebro län.</w:t>
      </w:r>
      <w:r>
        <w:t xml:space="preserve"> Länsstyrelsen i Örebro län, publ.nr. 2010:2.</w:t>
      </w:r>
    </w:p>
    <w:p>
      <w:r>
        <w:t xml:space="preserve">Wikars, L.-O., 2009. </w:t>
      </w:r>
      <w:r>
        <w:rPr>
          <w:i/>
        </w:rPr>
        <w:t>Vedskalbaggar i Hamra nationalpark, Gävleborgs län.</w:t>
      </w:r>
      <w:r>
        <w:t xml:space="preserve"> Länsstyrelsen Gävleborg, Rapport 2009:14.</w:t>
      </w:r>
    </w:p>
    <w:p>
      <w:pPr>
        <w:pStyle w:val="Heading1"/>
      </w:pPr>
      <w:r>
        <w:t>Pärluggla – ekologi samt krav på livsmiljön</w:t>
      </w:r>
    </w:p>
    <w:p>
      <w:r>
        <w:t>Pärluggla (§4) är beroende av äldre, varierad skog med goda jaktmöjligheter och god tillgång på lämpliga trädhål som boplatser. Den förekommer med störst täthet i äldre granskog, med inslag av gamla lövträd och luckor och öppningar i form av mindre hyggen, jordbruksmark och liknande. Den häckar även frekvent i barr- och lövblandskogar av tall, björk och asp, där förutsättningarna att finna boplatser är störst. I sydligaste Sverige häckar den ofta i gamla bokbackar, men den är mycket sällsynt i ren bokskog (SLU Artdatabanken, 2024).</w:t>
      </w:r>
    </w:p>
    <w:p>
      <w:r>
        <w:t>Hemområdet är i storleksordningen 200–500 hektar, men storleken varierar kraftigt beroende på hur mycket föda det finns. Under dåliga gnagarår kan pärlugglan jaga upp till 4 km från boet medan den under bra år ofta håller sig inom 1 km. Pärluggla är typisk art för Västlig taiga och omfattas av fågeldirektivets bilaga 1 (SLU Artdatabanken, 2024).</w:t>
      </w:r>
    </w:p>
    <w:p>
      <w:r>
        <w:t>Undvik skogsbruksåtgärder som kan skada hänsynskrävande miljöer, som till exempel strand- och sumpskogar med naturskogskaraktär, äldre skog på uddar och öar, raviner, klyftor och blockmarker samt berg- och rasbranter, äldre hällmarksskog, äldre sandtallskogar, naturskogsrester, eller äldre trädbestånd med mycket hänglavar eller död ved (Skogsstyrelsen, 2016).</w:t>
      </w:r>
    </w:p>
    <w:p>
      <w:pPr>
        <w:pStyle w:val="Heading2"/>
      </w:pPr>
      <w:r>
        <w:t>Referenser – pärluggla</w:t>
      </w:r>
    </w:p>
    <w:p>
      <w:r>
        <w:t xml:space="preserve">SLU Artdatabanken, 2024. </w:t>
      </w:r>
      <w:r>
        <w:rPr>
          <w:i/>
        </w:rPr>
        <w:t xml:space="preserve">Artfaktablad. Naturvård – artfakta. </w:t>
      </w:r>
      <w:r>
        <w:t>SLU Artdatabanken, Uppsala.</w:t>
      </w:r>
    </w:p>
    <w:p>
      <w:r>
        <w:t xml:space="preserve">Skogsstyrelsen, 2016. </w:t>
      </w:r>
      <w:r>
        <w:rPr>
          <w:i/>
        </w:rPr>
        <w:t>Vägledning för hänsyn till pärluggla.</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